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8C14" w14:textId="77777777" w:rsidR="003069CE" w:rsidRPr="003069CE" w:rsidRDefault="003069CE" w:rsidP="003069CE">
      <w:pPr>
        <w:pStyle w:val="Ttulo"/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TERMO DE REFERÊNCIA</w:t>
      </w:r>
    </w:p>
    <w:p w14:paraId="1CD9AE10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1. DO OBJETO</w:t>
      </w:r>
    </w:p>
    <w:p w14:paraId="65F76AA3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O presente Termo de Referência tem por objeto a aquisição de equipamentos de informática, conforme especificações técnicas mínimas detalhadas a seguir.</w:t>
      </w:r>
    </w:p>
    <w:p w14:paraId="5FC2CC59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2. DA JUSTIFICATIVA</w:t>
      </w:r>
    </w:p>
    <w:p w14:paraId="4F266A11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A aquisição se faz necessária para garantir a modernização e a ampliação da infraestrutura tecnológica, atendendo às demandas do setor responsável pela manutenção e suporte dos sistemas institucionais, bem como assegurar maior eficiência, desempenho e segurança no processamento de dados.</w:t>
      </w:r>
    </w:p>
    <w:p w14:paraId="0FBFF20F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3. ESPECIFICAÇÕES TÉCNICAS</w:t>
      </w:r>
    </w:p>
    <w:p w14:paraId="51B5E1CB" w14:textId="77777777" w:rsidR="003069CE" w:rsidRPr="003069CE" w:rsidRDefault="003069CE" w:rsidP="003069CE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3069CE">
        <w:rPr>
          <w:rFonts w:ascii="Arial" w:hAnsi="Arial" w:cs="Arial"/>
          <w:color w:val="auto"/>
          <w:sz w:val="24"/>
          <w:szCs w:val="24"/>
        </w:rPr>
        <w:t>Item 1 – Servidor Rack</w:t>
      </w:r>
    </w:p>
    <w:p w14:paraId="49A4195D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Quantidade: 01 unidade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Servidor de alto desempenho para montagem em rack, indicado para data centers ou ambientes corporativos que demandam performance, escalabilidade e confiabilidade.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Especificações mínimas exigidas:</w:t>
      </w:r>
      <w:r w:rsidRPr="003069CE">
        <w:rPr>
          <w:rFonts w:ascii="Arial" w:hAnsi="Arial" w:cs="Arial"/>
          <w:sz w:val="24"/>
          <w:szCs w:val="24"/>
        </w:rPr>
        <w:br/>
        <w:t>- Formato: Rack 1U;</w:t>
      </w:r>
      <w:r w:rsidRPr="003069CE">
        <w:rPr>
          <w:rFonts w:ascii="Arial" w:hAnsi="Arial" w:cs="Arial"/>
          <w:sz w:val="24"/>
          <w:szCs w:val="24"/>
        </w:rPr>
        <w:br/>
        <w:t>- Processador: Intel® Xeon® Silver 4410Y, 12 núcleos / 24 threads, frequência base: 2.0 GHz, turbo até 3.0 GHz, cache: 30 MB;</w:t>
      </w:r>
      <w:r w:rsidRPr="003069CE">
        <w:rPr>
          <w:rFonts w:ascii="Arial" w:hAnsi="Arial" w:cs="Arial"/>
          <w:sz w:val="24"/>
          <w:szCs w:val="24"/>
        </w:rPr>
        <w:br/>
        <w:t>- Memória RAM: 1x32GB DDR5, tipo RDIMM ECC, slots disponíveis para expansão;</w:t>
      </w:r>
      <w:r w:rsidRPr="003069CE">
        <w:rPr>
          <w:rFonts w:ascii="Arial" w:hAnsi="Arial" w:cs="Arial"/>
          <w:sz w:val="24"/>
          <w:szCs w:val="24"/>
        </w:rPr>
        <w:br/>
        <w:t>- Armazenamento: 2x SSD SATA de 480 GB, suporte a M.2 SATA/</w:t>
      </w:r>
      <w:proofErr w:type="spellStart"/>
      <w:r w:rsidRPr="003069CE">
        <w:rPr>
          <w:rFonts w:ascii="Arial" w:hAnsi="Arial" w:cs="Arial"/>
          <w:sz w:val="24"/>
          <w:szCs w:val="24"/>
        </w:rPr>
        <w:t>NVMe</w:t>
      </w:r>
      <w:proofErr w:type="spellEnd"/>
      <w:r w:rsidRPr="003069CE">
        <w:rPr>
          <w:rFonts w:ascii="Arial" w:hAnsi="Arial" w:cs="Arial"/>
          <w:sz w:val="24"/>
          <w:szCs w:val="24"/>
        </w:rPr>
        <w:t>;</w:t>
      </w:r>
      <w:r w:rsidRPr="003069CE">
        <w:rPr>
          <w:rFonts w:ascii="Arial" w:hAnsi="Arial" w:cs="Arial"/>
          <w:sz w:val="24"/>
          <w:szCs w:val="24"/>
        </w:rPr>
        <w:br/>
        <w:t xml:space="preserve">- Fonte de Alimentação: 2x fontes redundantes de 750W (Hot Swap, com </w:t>
      </w:r>
      <w:proofErr w:type="spellStart"/>
      <w:r w:rsidRPr="003069CE">
        <w:rPr>
          <w:rFonts w:ascii="Arial" w:hAnsi="Arial" w:cs="Arial"/>
          <w:sz w:val="24"/>
          <w:szCs w:val="24"/>
        </w:rPr>
        <w:t>failover</w:t>
      </w:r>
      <w:proofErr w:type="spellEnd"/>
      <w:r w:rsidRPr="003069CE">
        <w:rPr>
          <w:rFonts w:ascii="Arial" w:hAnsi="Arial" w:cs="Arial"/>
          <w:sz w:val="24"/>
          <w:szCs w:val="24"/>
        </w:rPr>
        <w:t xml:space="preserve"> automático);</w:t>
      </w:r>
      <w:r w:rsidRPr="003069CE">
        <w:rPr>
          <w:rFonts w:ascii="Arial" w:hAnsi="Arial" w:cs="Arial"/>
          <w:sz w:val="24"/>
          <w:szCs w:val="24"/>
        </w:rPr>
        <w:br/>
        <w:t xml:space="preserve">- Placas de Expansão: Suporte a </w:t>
      </w:r>
      <w:proofErr w:type="spellStart"/>
      <w:r w:rsidRPr="003069CE">
        <w:rPr>
          <w:rFonts w:ascii="Arial" w:hAnsi="Arial" w:cs="Arial"/>
          <w:sz w:val="24"/>
          <w:szCs w:val="24"/>
        </w:rPr>
        <w:t>PCIe</w:t>
      </w:r>
      <w:proofErr w:type="spellEnd"/>
      <w:r w:rsidRPr="003069CE">
        <w:rPr>
          <w:rFonts w:ascii="Arial" w:hAnsi="Arial" w:cs="Arial"/>
          <w:sz w:val="24"/>
          <w:szCs w:val="24"/>
        </w:rPr>
        <w:t xml:space="preserve"> Gen4;</w:t>
      </w:r>
      <w:r w:rsidRPr="003069CE">
        <w:rPr>
          <w:rFonts w:ascii="Arial" w:hAnsi="Arial" w:cs="Arial"/>
          <w:sz w:val="24"/>
          <w:szCs w:val="24"/>
        </w:rPr>
        <w:br/>
        <w:t xml:space="preserve">- Conectividade: 2 portas Gigabit Ethernet </w:t>
      </w:r>
      <w:proofErr w:type="spellStart"/>
      <w:r w:rsidRPr="003069CE">
        <w:rPr>
          <w:rFonts w:ascii="Arial" w:hAnsi="Arial" w:cs="Arial"/>
          <w:sz w:val="24"/>
          <w:szCs w:val="24"/>
        </w:rPr>
        <w:t>onboard</w:t>
      </w:r>
      <w:proofErr w:type="spellEnd"/>
      <w:r w:rsidRPr="003069CE">
        <w:rPr>
          <w:rFonts w:ascii="Arial" w:hAnsi="Arial" w:cs="Arial"/>
          <w:sz w:val="24"/>
          <w:szCs w:val="24"/>
        </w:rPr>
        <w:t>;</w:t>
      </w:r>
      <w:r w:rsidRPr="003069CE">
        <w:rPr>
          <w:rFonts w:ascii="Arial" w:hAnsi="Arial" w:cs="Arial"/>
          <w:sz w:val="24"/>
          <w:szCs w:val="24"/>
        </w:rPr>
        <w:br/>
        <w:t>- Refrigeração: Ventoinhas hot-swap com monitoramento térmico;</w:t>
      </w:r>
      <w:r w:rsidRPr="003069CE">
        <w:rPr>
          <w:rFonts w:ascii="Arial" w:hAnsi="Arial" w:cs="Arial"/>
          <w:sz w:val="24"/>
          <w:szCs w:val="24"/>
        </w:rPr>
        <w:br/>
        <w:t>- Compatibilidade: Windows Server, Linux, VMware.</w:t>
      </w:r>
    </w:p>
    <w:p w14:paraId="376DDEDA" w14:textId="77777777" w:rsidR="003069CE" w:rsidRPr="003069CE" w:rsidRDefault="003069CE" w:rsidP="003069CE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3069CE">
        <w:rPr>
          <w:rFonts w:ascii="Arial" w:hAnsi="Arial" w:cs="Arial"/>
          <w:color w:val="auto"/>
          <w:sz w:val="24"/>
          <w:szCs w:val="24"/>
        </w:rPr>
        <w:t>Item 2 – Disco Rígido SAS 2.5” 2.4TB 10K</w:t>
      </w:r>
    </w:p>
    <w:p w14:paraId="0D0B116A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Quantidade: 02 unidades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Unidade de disco rígido para servidores corporativos, com alta capacidade, desempenho e confiabilidade, ideal para ambientes de missão crítica.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Especificações mínimas exigidas:</w:t>
      </w:r>
      <w:r w:rsidRPr="003069CE">
        <w:rPr>
          <w:rFonts w:ascii="Arial" w:hAnsi="Arial" w:cs="Arial"/>
          <w:sz w:val="24"/>
          <w:szCs w:val="24"/>
        </w:rPr>
        <w:br/>
        <w:t>- Modelo: Enterprise HDD;</w:t>
      </w:r>
      <w:r w:rsidRPr="003069CE">
        <w:rPr>
          <w:rFonts w:ascii="Arial" w:hAnsi="Arial" w:cs="Arial"/>
          <w:sz w:val="24"/>
          <w:szCs w:val="24"/>
        </w:rPr>
        <w:br/>
        <w:t>- Tipo: HDD – Disco Rígido;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lastRenderedPageBreak/>
        <w:t>- Formato: 2.5 polegadas (SFF);</w:t>
      </w:r>
      <w:r w:rsidRPr="003069CE">
        <w:rPr>
          <w:rFonts w:ascii="Arial" w:hAnsi="Arial" w:cs="Arial"/>
          <w:sz w:val="24"/>
          <w:szCs w:val="24"/>
        </w:rPr>
        <w:br/>
        <w:t>- Capacidade: 2.4 TB;</w:t>
      </w:r>
      <w:r w:rsidRPr="003069CE">
        <w:rPr>
          <w:rFonts w:ascii="Arial" w:hAnsi="Arial" w:cs="Arial"/>
          <w:sz w:val="24"/>
          <w:szCs w:val="24"/>
        </w:rPr>
        <w:br/>
        <w:t>- Interface: SAS 12Gb/s;</w:t>
      </w:r>
      <w:r w:rsidRPr="003069CE">
        <w:rPr>
          <w:rFonts w:ascii="Arial" w:hAnsi="Arial" w:cs="Arial"/>
          <w:sz w:val="24"/>
          <w:szCs w:val="24"/>
        </w:rPr>
        <w:br/>
        <w:t>- Velocidade de rotação: 10.000 RPM;</w:t>
      </w:r>
      <w:r w:rsidRPr="003069CE">
        <w:rPr>
          <w:rFonts w:ascii="Arial" w:hAnsi="Arial" w:cs="Arial"/>
          <w:sz w:val="24"/>
          <w:szCs w:val="24"/>
        </w:rPr>
        <w:br/>
        <w:t>- Hot Swap: Sim;</w:t>
      </w:r>
      <w:r w:rsidRPr="003069CE">
        <w:rPr>
          <w:rFonts w:ascii="Arial" w:hAnsi="Arial" w:cs="Arial"/>
          <w:sz w:val="24"/>
          <w:szCs w:val="24"/>
        </w:rPr>
        <w:br/>
        <w:t>- Cache mínimo: 128 MB.</w:t>
      </w:r>
    </w:p>
    <w:p w14:paraId="7CA7B62B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4. DAS CONDIÇÕES DE ENTREGA</w:t>
      </w:r>
    </w:p>
    <w:p w14:paraId="49048555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Os equipamentos deverão ser entregues devidamente embalados, lacrados e novos, sem uso prévio, no prazo máximo estabelecido em contrato.</w:t>
      </w:r>
    </w:p>
    <w:p w14:paraId="4D7BF581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5. DA GARANTIA</w:t>
      </w:r>
    </w:p>
    <w:p w14:paraId="278637B9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Os produtos deverão possuir garantia mínima de 36 (trinta e seis) meses, com suporte técnico presencial ou remoto, a ser prestado pelo fabricante ou empresa autorizada.</w:t>
      </w:r>
    </w:p>
    <w:p w14:paraId="63147039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6. DA FISCALIZAÇÃO</w:t>
      </w:r>
    </w:p>
    <w:p w14:paraId="22222781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A fiscalização será exercida por servidor designado, que acompanhará a entrega, instalação e o funcionamento dos equipamentos adquiridos.</w:t>
      </w:r>
    </w:p>
    <w:p w14:paraId="13524FD1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7. FUNDAMENTAÇÃO LEGAL</w:t>
      </w:r>
    </w:p>
    <w:p w14:paraId="57CCB122" w14:textId="77777777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A presente contratação será realizada em conformidade com a Lei nº 14.133, de 1º de abril de 2021 (Nova Lei de Licitações e Contratos Administrativos), especialmente no que dispõe: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- Art. 6º, inciso XXIII: definição de termo de referência como documento vinculativo que descreve o objeto da contratação;</w:t>
      </w:r>
      <w:r w:rsidRPr="003069CE">
        <w:rPr>
          <w:rFonts w:ascii="Arial" w:hAnsi="Arial" w:cs="Arial"/>
          <w:sz w:val="24"/>
          <w:szCs w:val="24"/>
        </w:rPr>
        <w:br/>
        <w:t>- Art. 18: necessidade de planejamento das contratações públicas;</w:t>
      </w:r>
      <w:r w:rsidRPr="003069CE">
        <w:rPr>
          <w:rFonts w:ascii="Arial" w:hAnsi="Arial" w:cs="Arial"/>
          <w:sz w:val="24"/>
          <w:szCs w:val="24"/>
        </w:rPr>
        <w:br/>
        <w:t>- Art. 40: exigência de especificação clara e precisa do objeto;</w:t>
      </w:r>
      <w:r w:rsidRPr="003069CE">
        <w:rPr>
          <w:rFonts w:ascii="Arial" w:hAnsi="Arial" w:cs="Arial"/>
          <w:sz w:val="24"/>
          <w:szCs w:val="24"/>
        </w:rPr>
        <w:br/>
        <w:t>- Art. 71: obrigação de garantia contratual;</w:t>
      </w:r>
      <w:r w:rsidRPr="003069CE">
        <w:rPr>
          <w:rFonts w:ascii="Arial" w:hAnsi="Arial" w:cs="Arial"/>
          <w:sz w:val="24"/>
          <w:szCs w:val="24"/>
        </w:rPr>
        <w:br/>
        <w:t>- Art. 72: regras sobre fiscalização e gestão contratual.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Aplica-se ainda, de forma subsidiária, a Lei nº 8.078/1990 (Código de Defesa do Consumidor), no tocante à garantia e à qualidade dos bens adquiridos.</w:t>
      </w:r>
    </w:p>
    <w:p w14:paraId="62B445A2" w14:textId="77777777" w:rsidR="003069CE" w:rsidRPr="003069CE" w:rsidRDefault="003069CE" w:rsidP="003069CE">
      <w:pPr>
        <w:pStyle w:val="Ttulo1"/>
        <w:rPr>
          <w:rFonts w:ascii="Arial" w:hAnsi="Arial" w:cs="Arial"/>
          <w:szCs w:val="24"/>
        </w:rPr>
      </w:pPr>
      <w:r w:rsidRPr="003069CE">
        <w:rPr>
          <w:rFonts w:ascii="Arial" w:hAnsi="Arial" w:cs="Arial"/>
          <w:szCs w:val="24"/>
        </w:rPr>
        <w:t>8. FUNDAMENTAÇÃO LEGAL COMPLEMENTAR</w:t>
      </w:r>
    </w:p>
    <w:p w14:paraId="38E0415A" w14:textId="6993D39D" w:rsidR="003069CE" w:rsidRPr="003069CE" w:rsidRDefault="003069CE" w:rsidP="003069CE">
      <w:pPr>
        <w:rPr>
          <w:rFonts w:ascii="Arial" w:hAnsi="Arial" w:cs="Arial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Além da Lei nº 14.133/2021, a presente contratação também observa normativos e jurisprudência dos órgãos de controle externo, conforme segue: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 xml:space="preserve">- Tribunal de Contas da União (TCU): O Estudo Técnico Preliminar (ETP) deve ser elaborado em conjunto pela área técnica e requisitante, de forma a avaliar a viabilidade técnica e econômica da contratação, servindo de base para o termo de </w:t>
      </w:r>
      <w:r w:rsidRPr="003069CE">
        <w:rPr>
          <w:rFonts w:ascii="Arial" w:hAnsi="Arial" w:cs="Arial"/>
          <w:sz w:val="24"/>
          <w:szCs w:val="24"/>
        </w:rPr>
        <w:lastRenderedPageBreak/>
        <w:t>referência ou projeto básico;</w:t>
      </w:r>
      <w:r w:rsidRPr="003069CE">
        <w:rPr>
          <w:rFonts w:ascii="Arial" w:hAnsi="Arial" w:cs="Arial"/>
          <w:sz w:val="24"/>
          <w:szCs w:val="24"/>
        </w:rPr>
        <w:br/>
        <w:t>- Jurisprudência TCU: Não é obrigatória a divulgação do ETP como anexo do edital, salvo quando não houver informações sigilosas, não configurando ilegalidade sua não publicação</w:t>
      </w:r>
      <w:r>
        <w:rPr>
          <w:rFonts w:ascii="Arial" w:hAnsi="Arial" w:cs="Arial"/>
          <w:sz w:val="24"/>
          <w:szCs w:val="24"/>
        </w:rPr>
        <w:t>.</w:t>
      </w:r>
      <w:r w:rsidRPr="003069CE">
        <w:rPr>
          <w:rFonts w:ascii="Arial" w:hAnsi="Arial" w:cs="Arial"/>
          <w:sz w:val="24"/>
          <w:szCs w:val="24"/>
        </w:rPr>
        <w:br/>
      </w:r>
      <w:r w:rsidRPr="003069CE">
        <w:rPr>
          <w:rFonts w:ascii="Arial" w:hAnsi="Arial" w:cs="Arial"/>
          <w:sz w:val="24"/>
          <w:szCs w:val="24"/>
        </w:rPr>
        <w:br/>
        <w:t>Assim, o presente Termo de Referência encontra respaldo legal e jurisprudencial para a formalização do processo licitatório.</w:t>
      </w:r>
    </w:p>
    <w:p w14:paraId="1BB7A545" w14:textId="4D1C8EE0" w:rsidR="00C20EA8" w:rsidRPr="003069CE" w:rsidRDefault="00C20EA8" w:rsidP="00834EB1">
      <w:pPr>
        <w:rPr>
          <w:rFonts w:ascii="Arial" w:hAnsi="Arial" w:cs="Arial"/>
          <w:sz w:val="24"/>
          <w:szCs w:val="24"/>
        </w:rPr>
      </w:pPr>
    </w:p>
    <w:sectPr w:rsidR="00C20EA8" w:rsidRPr="003069CE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70"/>
    <w:multiLevelType w:val="multilevel"/>
    <w:tmpl w:val="F78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D55A1"/>
    <w:multiLevelType w:val="multilevel"/>
    <w:tmpl w:val="995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D0E9A"/>
    <w:multiLevelType w:val="multilevel"/>
    <w:tmpl w:val="97E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97258"/>
    <w:multiLevelType w:val="multilevel"/>
    <w:tmpl w:val="BD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D39"/>
    <w:rsid w:val="00153D28"/>
    <w:rsid w:val="00157CE7"/>
    <w:rsid w:val="001A4339"/>
    <w:rsid w:val="003069CE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07223"/>
    <w:rsid w:val="0073715E"/>
    <w:rsid w:val="0076155C"/>
    <w:rsid w:val="00834EB1"/>
    <w:rsid w:val="00865A0B"/>
    <w:rsid w:val="008A50A9"/>
    <w:rsid w:val="00922160"/>
    <w:rsid w:val="00AB7373"/>
    <w:rsid w:val="00AD098D"/>
    <w:rsid w:val="00B0111E"/>
    <w:rsid w:val="00B20115"/>
    <w:rsid w:val="00BA74D8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0722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3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port-sheets-button">
    <w:name w:val="export-sheets-button"/>
    <w:basedOn w:val="Fontepargpadro"/>
    <w:rsid w:val="001A4339"/>
  </w:style>
  <w:style w:type="character" w:customStyle="1" w:styleId="TtuloChar">
    <w:name w:val="Título Char"/>
    <w:basedOn w:val="Fontepargpadro"/>
    <w:link w:val="Ttulo"/>
    <w:uiPriority w:val="10"/>
    <w:rsid w:val="003069CE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2023-05-31T19:31:00Z</cp:lastPrinted>
  <dcterms:created xsi:type="dcterms:W3CDTF">2025-08-20T12:13:00Z</dcterms:created>
  <dcterms:modified xsi:type="dcterms:W3CDTF">2025-08-20T12:13:00Z</dcterms:modified>
  <dc:language>pt-BR</dc:language>
</cp:coreProperties>
</file>